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201F" w14:paraId="74F8786E" w14:textId="77777777" w:rsidTr="002D76C5">
        <w:tc>
          <w:tcPr>
            <w:tcW w:w="9212" w:type="dxa"/>
          </w:tcPr>
          <w:p w14:paraId="186987E7" w14:textId="3E04E6CD" w:rsidR="00BE3C27" w:rsidRPr="008B62AB" w:rsidRDefault="00197758">
            <w:pPr>
              <w:rPr>
                <w:rFonts w:ascii="Verdana" w:hAnsi="Verdana"/>
                <w:sz w:val="20"/>
              </w:rPr>
            </w:pPr>
            <w:r w:rsidRPr="008B62AB">
              <w:rPr>
                <w:rFonts w:ascii="Verdana" w:hAnsi="Verdana"/>
                <w:b/>
                <w:bCs/>
                <w:sz w:val="20"/>
              </w:rPr>
              <w:t>De r</w:t>
            </w:r>
            <w:r w:rsidR="0092201F" w:rsidRPr="008B62AB">
              <w:rPr>
                <w:rFonts w:ascii="Verdana" w:hAnsi="Verdana"/>
                <w:b/>
                <w:bCs/>
                <w:sz w:val="20"/>
              </w:rPr>
              <w:t>aad,</w:t>
            </w:r>
          </w:p>
          <w:p w14:paraId="0325BED8" w14:textId="17518370" w:rsidR="0092201F" w:rsidRPr="008B62AB" w:rsidRDefault="00FE6166" w:rsidP="00FE6166">
            <w:pPr>
              <w:tabs>
                <w:tab w:val="left" w:pos="3410"/>
              </w:tabs>
              <w:rPr>
                <w:rFonts w:ascii="Verdana" w:hAnsi="Verdana"/>
                <w:b/>
                <w:bCs/>
                <w:sz w:val="20"/>
              </w:rPr>
            </w:pPr>
            <w:r w:rsidRPr="008B62AB"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23807CD7" w14:textId="6091E7DF" w:rsidR="00F97797" w:rsidRPr="008B62AB" w:rsidRDefault="0092201F" w:rsidP="003952F8">
            <w:pPr>
              <w:rPr>
                <w:rFonts w:ascii="Verdana" w:hAnsi="Verdana"/>
                <w:b/>
                <w:bCs/>
                <w:sz w:val="20"/>
              </w:rPr>
            </w:pPr>
            <w:r w:rsidRPr="008B62AB">
              <w:rPr>
                <w:rFonts w:ascii="Verdana" w:hAnsi="Verdana"/>
                <w:b/>
                <w:bCs/>
                <w:sz w:val="20"/>
              </w:rPr>
              <w:t>Gehoord de beraadslaging,</w:t>
            </w:r>
          </w:p>
          <w:p w14:paraId="42B973B1" w14:textId="77777777" w:rsidR="009350DD" w:rsidRPr="008B62AB" w:rsidRDefault="009350DD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5B37423E" w14:textId="77777777" w:rsidR="00BA46A4" w:rsidRPr="008B62AB" w:rsidRDefault="00BA46A4" w:rsidP="00BA46A4">
            <w:pPr>
              <w:rPr>
                <w:rFonts w:ascii="Verdana" w:hAnsi="Verdana"/>
                <w:bCs/>
                <w:sz w:val="20"/>
              </w:rPr>
            </w:pPr>
            <w:r w:rsidRPr="008B62AB">
              <w:rPr>
                <w:rFonts w:ascii="Verdana" w:hAnsi="Verdana"/>
                <w:b/>
                <w:bCs/>
                <w:sz w:val="20"/>
              </w:rPr>
              <w:t>Constaterende dat,</w:t>
            </w:r>
            <w:r w:rsidRPr="008B62AB">
              <w:rPr>
                <w:rFonts w:ascii="Verdana" w:hAnsi="Verdana"/>
                <w:bCs/>
                <w:sz w:val="20"/>
              </w:rPr>
              <w:t xml:space="preserve"> </w:t>
            </w:r>
          </w:p>
          <w:p w14:paraId="3C728CC4" w14:textId="2D90A0A2" w:rsidR="003952F8" w:rsidRPr="008B62AB" w:rsidRDefault="007C0D49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8B62AB">
              <w:rPr>
                <w:rFonts w:ascii="Verdana" w:hAnsi="Verdana"/>
                <w:bCs/>
                <w:sz w:val="20"/>
              </w:rPr>
              <w:t xml:space="preserve">De gemeenteraad op 22 juni </w:t>
            </w:r>
            <w:r w:rsidR="004A17AB" w:rsidRPr="008B62AB">
              <w:rPr>
                <w:rFonts w:ascii="Verdana" w:hAnsi="Verdana"/>
                <w:bCs/>
                <w:sz w:val="20"/>
              </w:rPr>
              <w:t xml:space="preserve">naar aanleiding van een wetswijziging </w:t>
            </w:r>
            <w:r w:rsidRPr="008B62AB">
              <w:rPr>
                <w:rFonts w:ascii="Verdana" w:hAnsi="Verdana"/>
                <w:bCs/>
                <w:sz w:val="20"/>
              </w:rPr>
              <w:t>het besluit heeft genomen om met ingang van 1 juli 2023 de aflosperiode van een schuldregeling in een minnelijke regeling (MSNP) te halveren tot 18 maanden;</w:t>
            </w:r>
          </w:p>
          <w:p w14:paraId="5B92B42D" w14:textId="37052EE4" w:rsidR="007C0D49" w:rsidRPr="008B62AB" w:rsidRDefault="007C0D49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8B62AB">
              <w:rPr>
                <w:rFonts w:ascii="Verdana" w:hAnsi="Verdana"/>
                <w:bCs/>
                <w:sz w:val="20"/>
              </w:rPr>
              <w:t>Inmiddels ook duidelijk is dat het Rijk niet met een overgangsregeling komt, omdat het Rijk voor al lopende trajecten schuldeisers niet kan dwingen akkoord te gaan met een kortere aflosperiode;</w:t>
            </w:r>
          </w:p>
          <w:p w14:paraId="2E70C5C1" w14:textId="40015A54" w:rsidR="007C0D49" w:rsidRPr="008B62AB" w:rsidRDefault="007C0D49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8B62AB">
              <w:rPr>
                <w:rFonts w:ascii="Verdana" w:hAnsi="Verdana"/>
                <w:bCs/>
                <w:sz w:val="20"/>
              </w:rPr>
              <w:t xml:space="preserve">Het vreemd is dat mensen die nu in de schuldsanering komen over 18 maanden van de schulden af zijn, terwijl mensen voor wie het traject </w:t>
            </w:r>
            <w:r w:rsidR="000277C2" w:rsidRPr="008B62AB">
              <w:rPr>
                <w:rFonts w:ascii="Verdana" w:hAnsi="Verdana"/>
                <w:bCs/>
                <w:sz w:val="20"/>
              </w:rPr>
              <w:t xml:space="preserve">vorige maand is gestart nog 35 maanden daarmee te maken krijgen; </w:t>
            </w:r>
          </w:p>
          <w:p w14:paraId="4C55F540" w14:textId="78104C43" w:rsidR="007C0D49" w:rsidRPr="008B62AB" w:rsidRDefault="007C0D49" w:rsidP="003952F8">
            <w:pPr>
              <w:pStyle w:val="Lijstalinea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8B62AB">
              <w:rPr>
                <w:rFonts w:ascii="Verdana" w:hAnsi="Verdana"/>
                <w:bCs/>
                <w:sz w:val="20"/>
              </w:rPr>
              <w:t>In ieder geval de gemeente</w:t>
            </w:r>
            <w:r w:rsidR="00E66C89" w:rsidRPr="008B62AB">
              <w:rPr>
                <w:rFonts w:ascii="Verdana" w:hAnsi="Verdana"/>
                <w:bCs/>
                <w:sz w:val="20"/>
              </w:rPr>
              <w:t>n</w:t>
            </w:r>
            <w:r w:rsidRPr="008B62AB">
              <w:rPr>
                <w:rFonts w:ascii="Verdana" w:hAnsi="Verdana"/>
                <w:bCs/>
                <w:sz w:val="20"/>
              </w:rPr>
              <w:t xml:space="preserve"> Amsterdam</w:t>
            </w:r>
            <w:r w:rsidR="00E66C89" w:rsidRPr="008B62AB">
              <w:rPr>
                <w:rFonts w:ascii="Verdana" w:hAnsi="Verdana"/>
                <w:bCs/>
                <w:sz w:val="20"/>
              </w:rPr>
              <w:t xml:space="preserve"> en ‘s-Hertogenbosch</w:t>
            </w:r>
            <w:r w:rsidRPr="008B62AB">
              <w:rPr>
                <w:rFonts w:ascii="Verdana" w:hAnsi="Verdana"/>
                <w:bCs/>
                <w:sz w:val="20"/>
              </w:rPr>
              <w:t xml:space="preserve"> een eigen overgangsregeling he</w:t>
            </w:r>
            <w:r w:rsidR="00E66C89" w:rsidRPr="008B62AB">
              <w:rPr>
                <w:rFonts w:ascii="Verdana" w:hAnsi="Verdana"/>
                <w:bCs/>
                <w:sz w:val="20"/>
              </w:rPr>
              <w:t>bben</w:t>
            </w:r>
            <w:r w:rsidRPr="008B62AB">
              <w:rPr>
                <w:rFonts w:ascii="Verdana" w:hAnsi="Verdana"/>
                <w:bCs/>
                <w:sz w:val="20"/>
              </w:rPr>
              <w:t xml:space="preserve"> getroffen</w:t>
            </w:r>
            <w:r w:rsidR="000277C2" w:rsidRPr="008B62AB">
              <w:rPr>
                <w:rFonts w:ascii="Verdana" w:hAnsi="Verdana"/>
                <w:bCs/>
                <w:sz w:val="20"/>
              </w:rPr>
              <w:t xml:space="preserve"> en hiervoor € 1,4 miljoen </w:t>
            </w:r>
            <w:r w:rsidR="00E66C89" w:rsidRPr="008B62AB">
              <w:rPr>
                <w:rFonts w:ascii="Verdana" w:hAnsi="Verdana"/>
                <w:bCs/>
                <w:sz w:val="20"/>
              </w:rPr>
              <w:t>respectievelijk €0,5 miljoen hebben</w:t>
            </w:r>
            <w:r w:rsidR="000277C2" w:rsidRPr="008B62AB">
              <w:rPr>
                <w:rFonts w:ascii="Verdana" w:hAnsi="Verdana"/>
                <w:bCs/>
                <w:sz w:val="20"/>
              </w:rPr>
              <w:t xml:space="preserve"> uitgetrokken</w:t>
            </w:r>
            <w:r w:rsidRPr="008B62AB">
              <w:rPr>
                <w:rFonts w:ascii="Verdana" w:hAnsi="Verdana"/>
                <w:bCs/>
                <w:sz w:val="20"/>
              </w:rPr>
              <w:t xml:space="preserve">. </w:t>
            </w:r>
          </w:p>
          <w:p w14:paraId="70F092AD" w14:textId="77777777" w:rsidR="00BA46A4" w:rsidRPr="008B62AB" w:rsidRDefault="00BA46A4" w:rsidP="00BA46A4">
            <w:pPr>
              <w:rPr>
                <w:rFonts w:ascii="Verdana" w:hAnsi="Verdana"/>
                <w:bCs/>
                <w:sz w:val="20"/>
              </w:rPr>
            </w:pPr>
          </w:p>
          <w:p w14:paraId="5837EE35" w14:textId="77777777" w:rsidR="00BA46A4" w:rsidRPr="008B62AB" w:rsidRDefault="00BA46A4" w:rsidP="00BA46A4">
            <w:pPr>
              <w:rPr>
                <w:rFonts w:ascii="Verdana" w:hAnsi="Verdana"/>
                <w:b/>
                <w:bCs/>
                <w:sz w:val="20"/>
              </w:rPr>
            </w:pPr>
            <w:r w:rsidRPr="008B62AB">
              <w:rPr>
                <w:rFonts w:ascii="Verdana" w:hAnsi="Verdana"/>
                <w:b/>
                <w:bCs/>
                <w:sz w:val="20"/>
              </w:rPr>
              <w:t xml:space="preserve">Overwegende dat, </w:t>
            </w:r>
          </w:p>
          <w:p w14:paraId="127C180A" w14:textId="77777777" w:rsidR="00FE6166" w:rsidRPr="008B62AB" w:rsidRDefault="000277C2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 w:rsidRPr="008B62AB">
              <w:rPr>
                <w:rFonts w:ascii="Verdana" w:hAnsi="Verdana"/>
                <w:iCs/>
                <w:sz w:val="20"/>
              </w:rPr>
              <w:t>Het hebben van schulden een zware druk legt op de gezinnen die het betreft;</w:t>
            </w:r>
          </w:p>
          <w:p w14:paraId="20FFD5F3" w14:textId="48A8C184" w:rsidR="000277C2" w:rsidRPr="008B62AB" w:rsidRDefault="000277C2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 w:rsidRPr="008B62AB">
              <w:rPr>
                <w:rFonts w:ascii="Verdana" w:hAnsi="Verdana"/>
                <w:iCs/>
                <w:sz w:val="20"/>
              </w:rPr>
              <w:t>Het voor die gezinnen, zeker met kinderen, belangrijk is dat het sneller bieden van perspectief op een schuldenvrije toekomst voor hen heilzaam is</w:t>
            </w:r>
            <w:r w:rsidR="004A17AB" w:rsidRPr="008B62AB">
              <w:rPr>
                <w:rFonts w:ascii="Verdana" w:hAnsi="Verdana"/>
                <w:iCs/>
                <w:sz w:val="20"/>
              </w:rPr>
              <w:t>;</w:t>
            </w:r>
          </w:p>
          <w:p w14:paraId="6EA37207" w14:textId="391B52F0" w:rsidR="004A17AB" w:rsidRPr="008B62AB" w:rsidRDefault="004A17AB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 w:rsidRPr="008B62AB">
              <w:rPr>
                <w:rFonts w:ascii="Verdana" w:hAnsi="Verdana"/>
                <w:iCs/>
                <w:sz w:val="20"/>
              </w:rPr>
              <w:t>Een verkorting van de aflossingsperiode past bij het beleidsplan schuldhulpverlening Gemeente Waalwijk 2021-2024 “Belofte maakt schuld’</w:t>
            </w:r>
            <w:r w:rsidR="00F30820" w:rsidRPr="008B62AB">
              <w:rPr>
                <w:rFonts w:ascii="Verdana" w:hAnsi="Verdana"/>
                <w:iCs/>
                <w:sz w:val="20"/>
              </w:rPr>
              <w:t>;</w:t>
            </w:r>
          </w:p>
          <w:p w14:paraId="6868FFC3" w14:textId="17B7AFC5" w:rsidR="00F30820" w:rsidRPr="008B62AB" w:rsidRDefault="00F30820" w:rsidP="00F97797">
            <w:pPr>
              <w:pStyle w:val="Lijstalinea"/>
              <w:numPr>
                <w:ilvl w:val="0"/>
                <w:numId w:val="25"/>
              </w:numPr>
              <w:suppressAutoHyphens/>
              <w:rPr>
                <w:rFonts w:ascii="Verdana" w:hAnsi="Verdana"/>
                <w:iCs/>
                <w:sz w:val="20"/>
              </w:rPr>
            </w:pPr>
            <w:r w:rsidRPr="008B62AB">
              <w:rPr>
                <w:rFonts w:ascii="Verdana" w:hAnsi="Verdana"/>
                <w:iCs/>
                <w:sz w:val="20"/>
              </w:rPr>
              <w:t xml:space="preserve">Een verkorting ertoe kan leiden dat mensen met problematische schulden zich eerder melden voor hulpverlening. </w:t>
            </w:r>
          </w:p>
          <w:p w14:paraId="0BAC8860" w14:textId="254F7A93" w:rsidR="000277C2" w:rsidRPr="008B62AB" w:rsidRDefault="000277C2" w:rsidP="000277C2">
            <w:pPr>
              <w:pStyle w:val="Lijstalinea"/>
              <w:suppressAutoHyphens/>
              <w:rPr>
                <w:rFonts w:ascii="Verdana" w:hAnsi="Verdana"/>
                <w:iCs/>
                <w:sz w:val="20"/>
              </w:rPr>
            </w:pPr>
          </w:p>
        </w:tc>
      </w:tr>
      <w:tr w:rsidR="0092201F" w14:paraId="3B08440F" w14:textId="77777777" w:rsidTr="002D76C5">
        <w:tc>
          <w:tcPr>
            <w:tcW w:w="9212" w:type="dxa"/>
          </w:tcPr>
          <w:p w14:paraId="447DD56B" w14:textId="0F4E92CA" w:rsidR="0026314E" w:rsidRPr="008B62AB" w:rsidRDefault="000277C2">
            <w:pPr>
              <w:rPr>
                <w:rFonts w:ascii="Verdana" w:hAnsi="Verdana"/>
                <w:b/>
                <w:iCs/>
                <w:sz w:val="20"/>
              </w:rPr>
            </w:pPr>
            <w:r w:rsidRPr="008B62AB">
              <w:rPr>
                <w:rFonts w:ascii="Verdana" w:hAnsi="Verdana"/>
                <w:b/>
                <w:iCs/>
                <w:sz w:val="20"/>
              </w:rPr>
              <w:t>Verzoek</w:t>
            </w:r>
            <w:r w:rsidR="00BA46A4" w:rsidRPr="008B62AB">
              <w:rPr>
                <w:rFonts w:ascii="Verdana" w:hAnsi="Verdana"/>
                <w:b/>
                <w:iCs/>
                <w:sz w:val="20"/>
              </w:rPr>
              <w:t>t</w:t>
            </w:r>
            <w:r w:rsidR="0026314E" w:rsidRPr="008B62AB">
              <w:rPr>
                <w:rFonts w:ascii="Verdana" w:hAnsi="Verdana"/>
                <w:b/>
                <w:iCs/>
                <w:sz w:val="20"/>
              </w:rPr>
              <w:t>:</w:t>
            </w:r>
          </w:p>
          <w:p w14:paraId="27839DCC" w14:textId="77777777" w:rsidR="000277C2" w:rsidRPr="008B62AB" w:rsidRDefault="000277C2">
            <w:pPr>
              <w:rPr>
                <w:rFonts w:ascii="Verdana" w:hAnsi="Verdana"/>
                <w:b/>
                <w:iCs/>
                <w:sz w:val="20"/>
              </w:rPr>
            </w:pPr>
          </w:p>
          <w:p w14:paraId="5170286F" w14:textId="47938C87" w:rsidR="000277C2" w:rsidRPr="008B62AB" w:rsidRDefault="000277C2" w:rsidP="000277C2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bCs/>
                <w:iCs/>
                <w:sz w:val="20"/>
              </w:rPr>
            </w:pPr>
            <w:r w:rsidRPr="008B62AB">
              <w:rPr>
                <w:rFonts w:ascii="Verdana" w:hAnsi="Verdana"/>
                <w:bCs/>
                <w:iCs/>
                <w:sz w:val="20"/>
              </w:rPr>
              <w:t>Te onderzoeken op welke wijze het mogelijk is om de termijn van schuldsanering voor trajecten die voor 1 juli 2023 zijn gestart, aanzienlijk te verkorten;</w:t>
            </w:r>
          </w:p>
          <w:p w14:paraId="259176A9" w14:textId="72C2CEEA" w:rsidR="004A17AB" w:rsidRPr="008B62AB" w:rsidRDefault="00E66C89" w:rsidP="000277C2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bCs/>
                <w:iCs/>
                <w:sz w:val="20"/>
              </w:rPr>
            </w:pPr>
            <w:r w:rsidRPr="008B62AB">
              <w:rPr>
                <w:rFonts w:ascii="Verdana" w:hAnsi="Verdana"/>
                <w:bCs/>
                <w:iCs/>
                <w:sz w:val="20"/>
              </w:rPr>
              <w:t>Het resultaat hiervan in de vorm van een raadsvoorstel voor 1 november 2023 aan de gemeenteraad voor te leggen</w:t>
            </w:r>
            <w:r w:rsidR="004A17AB" w:rsidRPr="008B62AB">
              <w:rPr>
                <w:rFonts w:ascii="Verdana" w:hAnsi="Verdana"/>
                <w:bCs/>
                <w:iCs/>
                <w:sz w:val="20"/>
              </w:rPr>
              <w:t>;</w:t>
            </w:r>
          </w:p>
          <w:p w14:paraId="744600EF" w14:textId="6116F11B" w:rsidR="000277C2" w:rsidRPr="008B62AB" w:rsidRDefault="000277C2" w:rsidP="000277C2">
            <w:pPr>
              <w:pStyle w:val="Lijstalinea"/>
              <w:numPr>
                <w:ilvl w:val="0"/>
                <w:numId w:val="27"/>
              </w:numPr>
              <w:rPr>
                <w:rFonts w:ascii="Verdana" w:hAnsi="Verdana"/>
                <w:bCs/>
                <w:iCs/>
                <w:sz w:val="20"/>
              </w:rPr>
            </w:pPr>
            <w:r w:rsidRPr="008B62AB">
              <w:rPr>
                <w:rFonts w:ascii="Verdana" w:hAnsi="Verdana"/>
                <w:bCs/>
                <w:iCs/>
                <w:sz w:val="20"/>
              </w:rPr>
              <w:t xml:space="preserve">De hiervoor benodigde financiële middelen </w:t>
            </w:r>
            <w:r w:rsidR="00E66C89" w:rsidRPr="008B62AB">
              <w:rPr>
                <w:rFonts w:ascii="Verdana" w:hAnsi="Verdana"/>
                <w:bCs/>
                <w:iCs/>
                <w:sz w:val="20"/>
              </w:rPr>
              <w:t xml:space="preserve">zo nodig </w:t>
            </w:r>
            <w:r w:rsidRPr="008B62AB">
              <w:rPr>
                <w:rFonts w:ascii="Verdana" w:hAnsi="Verdana"/>
                <w:bCs/>
                <w:iCs/>
                <w:sz w:val="20"/>
              </w:rPr>
              <w:t xml:space="preserve">ten laste te brengen van de Algemene Reserve. </w:t>
            </w:r>
          </w:p>
          <w:p w14:paraId="5FA4422E" w14:textId="77777777" w:rsidR="00AE454F" w:rsidRPr="008B62AB" w:rsidRDefault="00AE454F" w:rsidP="00EE6BC5">
            <w:pPr>
              <w:rPr>
                <w:rFonts w:ascii="Verdana" w:hAnsi="Verdana"/>
                <w:iCs/>
                <w:sz w:val="20"/>
              </w:rPr>
            </w:pPr>
          </w:p>
          <w:p w14:paraId="3C94114C" w14:textId="77777777" w:rsidR="009C714A" w:rsidRPr="008B62AB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AEE1948" w14:textId="77777777" w:rsidR="009C714A" w:rsidRPr="008B62AB" w:rsidRDefault="009C714A" w:rsidP="00EE6BC5">
            <w:pPr>
              <w:rPr>
                <w:rFonts w:ascii="Verdana" w:hAnsi="Verdana"/>
                <w:iCs/>
                <w:sz w:val="20"/>
              </w:rPr>
            </w:pPr>
          </w:p>
          <w:p w14:paraId="196BD23E" w14:textId="77777777" w:rsidR="002C08A9" w:rsidRPr="008B62AB" w:rsidRDefault="0092201F" w:rsidP="002C08A9">
            <w:pPr>
              <w:pStyle w:val="Plattetekst2"/>
              <w:rPr>
                <w:rFonts w:ascii="Verdana" w:hAnsi="Verdana"/>
                <w:sz w:val="20"/>
              </w:rPr>
            </w:pPr>
            <w:r w:rsidRPr="008B62AB">
              <w:rPr>
                <w:rFonts w:ascii="Verdana" w:hAnsi="Verdana"/>
                <w:sz w:val="20"/>
              </w:rPr>
              <w:t>en gaat over tot de orde van de dag.</w:t>
            </w:r>
          </w:p>
          <w:p w14:paraId="586D4B38" w14:textId="77777777" w:rsidR="00CC6BEB" w:rsidRPr="008B62A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73EB941C" w14:textId="77777777" w:rsidR="00CC6BEB" w:rsidRPr="008B62AB" w:rsidRDefault="00CC6BEB" w:rsidP="002C08A9">
            <w:pPr>
              <w:pStyle w:val="Plattetekst2"/>
              <w:rPr>
                <w:rFonts w:ascii="Verdana" w:hAnsi="Verdana"/>
                <w:sz w:val="20"/>
              </w:rPr>
            </w:pPr>
          </w:p>
          <w:p w14:paraId="2F9DDE2C" w14:textId="6ADE9E28" w:rsidR="00CC6BEB" w:rsidRPr="008B62AB" w:rsidRDefault="00C8197E" w:rsidP="00C8197E">
            <w:pPr>
              <w:pStyle w:val="Plattetekst2"/>
              <w:jc w:val="center"/>
              <w:rPr>
                <w:rFonts w:ascii="Verdana" w:hAnsi="Verdana"/>
                <w:b w:val="0"/>
                <w:bCs w:val="0"/>
                <w:i/>
                <w:iCs/>
                <w:sz w:val="20"/>
              </w:rPr>
            </w:pPr>
            <w:r w:rsidRPr="008B62AB">
              <w:rPr>
                <w:rFonts w:ascii="Verdana" w:hAnsi="Verdana"/>
                <w:b w:val="0"/>
                <w:bCs w:val="0"/>
                <w:i/>
                <w:iCs/>
                <w:sz w:val="20"/>
              </w:rPr>
              <w:t>Aangenomen/verworpen</w:t>
            </w:r>
          </w:p>
          <w:p w14:paraId="5D810E23" w14:textId="77777777" w:rsidR="00CC6BEB" w:rsidRPr="008B62AB" w:rsidRDefault="00CC6BEB" w:rsidP="002C08A9">
            <w:pPr>
              <w:pStyle w:val="Plattetekst2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14:paraId="299771FA" w14:textId="77777777" w:rsidR="004D21F5" w:rsidRDefault="004D21F5">
      <w:pPr>
        <w:rPr>
          <w:b/>
          <w:bCs/>
        </w:rPr>
      </w:pPr>
    </w:p>
    <w:p w14:paraId="354C5FFD" w14:textId="77777777" w:rsidR="004D21F5" w:rsidRDefault="004D21F5">
      <w:pPr>
        <w:rPr>
          <w:b/>
          <w:bCs/>
        </w:rPr>
      </w:pPr>
    </w:p>
    <w:p w14:paraId="1E8129A3" w14:textId="77777777" w:rsidR="004D21F5" w:rsidRDefault="004D21F5">
      <w:pPr>
        <w:rPr>
          <w:b/>
          <w:bCs/>
        </w:rPr>
      </w:pPr>
    </w:p>
    <w:p w14:paraId="5158F129" w14:textId="57D8B400" w:rsidR="0092201F" w:rsidRPr="00D66960" w:rsidRDefault="004D21F5" w:rsidP="00D66960">
      <w:pPr>
        <w:ind w:left="1416" w:firstLine="708"/>
      </w:pPr>
      <w:r w:rsidRPr="000F5D5C">
        <w:rPr>
          <w:rFonts w:ascii="Calibri" w:eastAsia="Calibri" w:hAnsi="Calibri"/>
          <w:noProof/>
          <w:sz w:val="20"/>
          <w:szCs w:val="22"/>
          <w:lang w:eastAsia="en-US"/>
        </w:rPr>
        <w:drawing>
          <wp:inline distT="0" distB="0" distL="0" distR="0" wp14:anchorId="6073E493" wp14:editId="5914C221">
            <wp:extent cx="2998470" cy="457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01F" w:rsidRPr="00D669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6968" w14:textId="77777777" w:rsidR="00B45BD9" w:rsidRDefault="00B45BD9" w:rsidP="00FE6166">
      <w:r>
        <w:separator/>
      </w:r>
    </w:p>
  </w:endnote>
  <w:endnote w:type="continuationSeparator" w:id="0">
    <w:p w14:paraId="4D6074B3" w14:textId="77777777" w:rsidR="00B45BD9" w:rsidRDefault="00B45BD9" w:rsidP="00FE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4F30" w14:textId="77777777" w:rsidR="00B45BD9" w:rsidRDefault="00B45BD9" w:rsidP="00FE6166">
      <w:r>
        <w:separator/>
      </w:r>
    </w:p>
  </w:footnote>
  <w:footnote w:type="continuationSeparator" w:id="0">
    <w:p w14:paraId="04BAA812" w14:textId="77777777" w:rsidR="00B45BD9" w:rsidRDefault="00B45BD9" w:rsidP="00FE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ACC" w14:textId="02F4D63C" w:rsidR="00FE6166" w:rsidRDefault="007F171B" w:rsidP="00FE6166">
    <w:pPr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MOTIE art. 43</w:t>
    </w:r>
    <w:r w:rsidR="00FE6166">
      <w:rPr>
        <w:rFonts w:ascii="Verdana" w:hAnsi="Verdana"/>
        <w:b/>
        <w:bCs/>
        <w:sz w:val="20"/>
      </w:rPr>
      <w:t xml:space="preserve"> RvO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FE6166" w14:paraId="7AA50A0C" w14:textId="77777777" w:rsidTr="00D11454">
      <w:tc>
        <w:tcPr>
          <w:tcW w:w="9212" w:type="dxa"/>
        </w:tcPr>
        <w:p w14:paraId="4526C01E" w14:textId="21750037" w:rsidR="00FE6166" w:rsidRPr="00470F53" w:rsidRDefault="00FE6166" w:rsidP="007F171B">
          <w:pPr>
            <w:rPr>
              <w:rFonts w:ascii="Verdana" w:hAnsi="Verdana"/>
              <w:i/>
              <w:i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Voorstel:</w:t>
          </w:r>
          <w:r w:rsidR="00766485">
            <w:rPr>
              <w:rFonts w:ascii="Verdana" w:hAnsi="Verdana"/>
              <w:b/>
              <w:sz w:val="20"/>
            </w:rPr>
            <w:t xml:space="preserve"> </w:t>
          </w:r>
          <w:r w:rsidR="007C0D49" w:rsidRPr="007C0D49">
            <w:rPr>
              <w:rFonts w:ascii="Verdana" w:hAnsi="Verdana"/>
              <w:bCs/>
              <w:sz w:val="20"/>
            </w:rPr>
            <w:t>Kadernota &amp; algemene beschouwingen</w:t>
          </w:r>
        </w:p>
      </w:tc>
    </w:tr>
    <w:tr w:rsidR="00FE6166" w14:paraId="35A02B1E" w14:textId="77777777" w:rsidTr="00D11454">
      <w:tc>
        <w:tcPr>
          <w:tcW w:w="9212" w:type="dxa"/>
        </w:tcPr>
        <w:p w14:paraId="75E38CDF" w14:textId="44DC78D6" w:rsidR="00FE6166" w:rsidRPr="00BA46A4" w:rsidRDefault="00470F53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Onderwerp:</w:t>
          </w:r>
          <w:r w:rsidR="007C0D49">
            <w:rPr>
              <w:rFonts w:ascii="Verdana" w:hAnsi="Verdana"/>
              <w:sz w:val="20"/>
            </w:rPr>
            <w:t xml:space="preserve"> </w:t>
          </w:r>
          <w:r w:rsidR="007C0D49" w:rsidRPr="007C0D49">
            <w:rPr>
              <w:rFonts w:ascii="Verdana" w:hAnsi="Verdana"/>
              <w:b w:val="0"/>
              <w:bCs w:val="0"/>
              <w:sz w:val="20"/>
            </w:rPr>
            <w:t>Overgangsregeling M</w:t>
          </w:r>
          <w:r w:rsidR="007C0D49">
            <w:rPr>
              <w:rFonts w:ascii="Verdana" w:hAnsi="Verdana"/>
              <w:b w:val="0"/>
              <w:bCs w:val="0"/>
              <w:sz w:val="20"/>
            </w:rPr>
            <w:t xml:space="preserve">innelijke </w:t>
          </w:r>
          <w:r w:rsidR="007C0D49" w:rsidRPr="007C0D49">
            <w:rPr>
              <w:rFonts w:ascii="Verdana" w:hAnsi="Verdana"/>
              <w:b w:val="0"/>
              <w:bCs w:val="0"/>
              <w:sz w:val="20"/>
            </w:rPr>
            <w:t>s</w:t>
          </w:r>
          <w:r w:rsidR="007C0D49">
            <w:rPr>
              <w:rFonts w:ascii="Verdana" w:hAnsi="Verdana"/>
              <w:b w:val="0"/>
              <w:bCs w:val="0"/>
              <w:sz w:val="20"/>
            </w:rPr>
            <w:t xml:space="preserve">chuldsanering </w:t>
          </w:r>
          <w:r w:rsidR="007C0D49" w:rsidRPr="007C0D49">
            <w:rPr>
              <w:rFonts w:ascii="Verdana" w:hAnsi="Verdana"/>
              <w:b w:val="0"/>
              <w:bCs w:val="0"/>
              <w:sz w:val="20"/>
            </w:rPr>
            <w:t>n</w:t>
          </w:r>
          <w:r w:rsidR="007C0D49">
            <w:rPr>
              <w:rFonts w:ascii="Verdana" w:hAnsi="Verdana"/>
              <w:b w:val="0"/>
              <w:bCs w:val="0"/>
              <w:sz w:val="20"/>
            </w:rPr>
            <w:t xml:space="preserve">atuurlijke </w:t>
          </w:r>
          <w:r w:rsidR="007C0D49" w:rsidRPr="007C0D49">
            <w:rPr>
              <w:rFonts w:ascii="Verdana" w:hAnsi="Verdana"/>
              <w:b w:val="0"/>
              <w:bCs w:val="0"/>
              <w:sz w:val="20"/>
            </w:rPr>
            <w:t>p</w:t>
          </w:r>
          <w:r w:rsidR="007C0D49">
            <w:rPr>
              <w:rFonts w:ascii="Verdana" w:hAnsi="Verdana"/>
              <w:b w:val="0"/>
              <w:bCs w:val="0"/>
              <w:sz w:val="20"/>
            </w:rPr>
            <w:t>ersonen</w:t>
          </w:r>
        </w:p>
      </w:tc>
    </w:tr>
    <w:tr w:rsidR="00FE6166" w14:paraId="3CD26FB3" w14:textId="77777777" w:rsidTr="00D11454">
      <w:tc>
        <w:tcPr>
          <w:tcW w:w="9212" w:type="dxa"/>
        </w:tcPr>
        <w:p w14:paraId="287F75AE" w14:textId="5D8E31DF" w:rsidR="00FE6166" w:rsidRPr="00BA46A4" w:rsidRDefault="00FE6166" w:rsidP="007F171B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De raad van de gemeente Waalwijk in vergadering bijeen d.d.</w:t>
          </w:r>
          <w:r w:rsidR="007C0D49">
            <w:rPr>
              <w:rFonts w:ascii="Verdana" w:hAnsi="Verdana"/>
              <w:sz w:val="20"/>
            </w:rPr>
            <w:t xml:space="preserve"> </w:t>
          </w:r>
          <w:r w:rsidR="007C0D49" w:rsidRPr="007C0D49">
            <w:rPr>
              <w:rFonts w:ascii="Verdana" w:hAnsi="Verdana"/>
              <w:b w:val="0"/>
              <w:bCs w:val="0"/>
              <w:sz w:val="20"/>
            </w:rPr>
            <w:t>6 juli 2023</w:t>
          </w:r>
        </w:p>
      </w:tc>
    </w:tr>
    <w:tr w:rsidR="00FE6166" w14:paraId="0B7D1BA4" w14:textId="77777777" w:rsidTr="00D11454">
      <w:tc>
        <w:tcPr>
          <w:tcW w:w="9212" w:type="dxa"/>
        </w:tcPr>
        <w:p w14:paraId="7123F50E" w14:textId="25B61583" w:rsidR="00FE6166" w:rsidRPr="003F30B4" w:rsidRDefault="00E4325B" w:rsidP="00D11454">
          <w:pPr>
            <w:pStyle w:val="Plattetekst2"/>
            <w:rPr>
              <w:rFonts w:ascii="Verdana" w:hAnsi="Verdana"/>
              <w:b w:val="0"/>
              <w:bCs w:val="0"/>
              <w:sz w:val="20"/>
            </w:rPr>
          </w:pPr>
          <w:r>
            <w:rPr>
              <w:rFonts w:ascii="Verdana" w:hAnsi="Verdana"/>
              <w:sz w:val="20"/>
            </w:rPr>
            <w:t>F</w:t>
          </w:r>
          <w:r w:rsidR="00FE6166">
            <w:rPr>
              <w:rFonts w:ascii="Verdana" w:hAnsi="Verdana"/>
              <w:sz w:val="20"/>
            </w:rPr>
            <w:t xml:space="preserve">ractie: </w:t>
          </w:r>
          <w:r w:rsidR="003F30B4">
            <w:rPr>
              <w:rFonts w:ascii="Verdana" w:hAnsi="Verdana"/>
              <w:b w:val="0"/>
              <w:bCs w:val="0"/>
              <w:sz w:val="20"/>
            </w:rPr>
            <w:t>ChristenUnie</w:t>
          </w:r>
        </w:p>
      </w:tc>
    </w:tr>
  </w:tbl>
  <w:p w14:paraId="06186D2A" w14:textId="77777777" w:rsidR="00FE6166" w:rsidRDefault="00FE61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64377E"/>
    <w:multiLevelType w:val="hybridMultilevel"/>
    <w:tmpl w:val="6A92D466"/>
    <w:lvl w:ilvl="0" w:tplc="4622D5C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62B7C"/>
    <w:multiLevelType w:val="hybridMultilevel"/>
    <w:tmpl w:val="3FF04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F0C"/>
    <w:multiLevelType w:val="hybridMultilevel"/>
    <w:tmpl w:val="5B74F0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405"/>
    <w:multiLevelType w:val="hybridMultilevel"/>
    <w:tmpl w:val="D5C467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5793A"/>
    <w:multiLevelType w:val="hybridMultilevel"/>
    <w:tmpl w:val="173CC522"/>
    <w:lvl w:ilvl="0" w:tplc="D800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5B69"/>
    <w:multiLevelType w:val="hybridMultilevel"/>
    <w:tmpl w:val="C64876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7783"/>
    <w:multiLevelType w:val="hybridMultilevel"/>
    <w:tmpl w:val="65341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1FF"/>
    <w:multiLevelType w:val="hybridMultilevel"/>
    <w:tmpl w:val="A8C28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E0CC4"/>
    <w:multiLevelType w:val="hybridMultilevel"/>
    <w:tmpl w:val="F1BC5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83153"/>
    <w:multiLevelType w:val="hybridMultilevel"/>
    <w:tmpl w:val="FC32B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621D"/>
    <w:multiLevelType w:val="hybridMultilevel"/>
    <w:tmpl w:val="94D8B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27E05"/>
    <w:multiLevelType w:val="hybridMultilevel"/>
    <w:tmpl w:val="C1A42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8D0"/>
    <w:multiLevelType w:val="hybridMultilevel"/>
    <w:tmpl w:val="E14CD752"/>
    <w:lvl w:ilvl="0" w:tplc="97E221D2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8056CB"/>
    <w:multiLevelType w:val="hybridMultilevel"/>
    <w:tmpl w:val="CC125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1491"/>
    <w:multiLevelType w:val="hybridMultilevel"/>
    <w:tmpl w:val="588EDBA2"/>
    <w:lvl w:ilvl="0" w:tplc="A5A06BF0">
      <w:start w:val="5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5578"/>
    <w:multiLevelType w:val="hybridMultilevel"/>
    <w:tmpl w:val="64602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24BA"/>
    <w:multiLevelType w:val="hybridMultilevel"/>
    <w:tmpl w:val="6E66C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0DA"/>
    <w:multiLevelType w:val="hybridMultilevel"/>
    <w:tmpl w:val="545CC3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67572"/>
    <w:multiLevelType w:val="hybridMultilevel"/>
    <w:tmpl w:val="D36C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E25FA"/>
    <w:multiLevelType w:val="hybridMultilevel"/>
    <w:tmpl w:val="1E168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7FAF"/>
    <w:multiLevelType w:val="hybridMultilevel"/>
    <w:tmpl w:val="E7BEECC6"/>
    <w:lvl w:ilvl="0" w:tplc="7E24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C1D78"/>
    <w:multiLevelType w:val="hybridMultilevel"/>
    <w:tmpl w:val="8EDC16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5883"/>
    <w:multiLevelType w:val="hybridMultilevel"/>
    <w:tmpl w:val="E3A0EE7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C7DA3"/>
    <w:multiLevelType w:val="hybridMultilevel"/>
    <w:tmpl w:val="3BEC48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057D"/>
    <w:multiLevelType w:val="hybridMultilevel"/>
    <w:tmpl w:val="0286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14EF"/>
    <w:multiLevelType w:val="hybridMultilevel"/>
    <w:tmpl w:val="A604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970458">
    <w:abstractNumId w:val="15"/>
  </w:num>
  <w:num w:numId="2" w16cid:durableId="971248240">
    <w:abstractNumId w:val="11"/>
  </w:num>
  <w:num w:numId="3" w16cid:durableId="873617663">
    <w:abstractNumId w:val="20"/>
  </w:num>
  <w:num w:numId="4" w16cid:durableId="334116675">
    <w:abstractNumId w:val="17"/>
  </w:num>
  <w:num w:numId="5" w16cid:durableId="620766110">
    <w:abstractNumId w:val="9"/>
  </w:num>
  <w:num w:numId="6" w16cid:durableId="275794288">
    <w:abstractNumId w:val="14"/>
  </w:num>
  <w:num w:numId="7" w16cid:durableId="1409425376">
    <w:abstractNumId w:val="16"/>
  </w:num>
  <w:num w:numId="8" w16cid:durableId="694965360">
    <w:abstractNumId w:val="13"/>
  </w:num>
  <w:num w:numId="9" w16cid:durableId="404377856">
    <w:abstractNumId w:val="23"/>
  </w:num>
  <w:num w:numId="10" w16cid:durableId="1744254947">
    <w:abstractNumId w:val="21"/>
  </w:num>
  <w:num w:numId="11" w16cid:durableId="1022707861">
    <w:abstractNumId w:val="1"/>
  </w:num>
  <w:num w:numId="12" w16cid:durableId="1226331244">
    <w:abstractNumId w:val="8"/>
  </w:num>
  <w:num w:numId="13" w16cid:durableId="1936746533">
    <w:abstractNumId w:val="24"/>
  </w:num>
  <w:num w:numId="14" w16cid:durableId="540628557">
    <w:abstractNumId w:val="6"/>
  </w:num>
  <w:num w:numId="15" w16cid:durableId="1507940870">
    <w:abstractNumId w:val="18"/>
  </w:num>
  <w:num w:numId="16" w16cid:durableId="136070382">
    <w:abstractNumId w:val="4"/>
  </w:num>
  <w:num w:numId="17" w16cid:durableId="764495043">
    <w:abstractNumId w:val="3"/>
  </w:num>
  <w:num w:numId="18" w16cid:durableId="620960625">
    <w:abstractNumId w:val="5"/>
  </w:num>
  <w:num w:numId="19" w16cid:durableId="1568221331">
    <w:abstractNumId w:val="10"/>
  </w:num>
  <w:num w:numId="20" w16cid:durableId="792943059">
    <w:abstractNumId w:val="26"/>
  </w:num>
  <w:num w:numId="21" w16cid:durableId="1215776279">
    <w:abstractNumId w:val="2"/>
  </w:num>
  <w:num w:numId="22" w16cid:durableId="1127359696">
    <w:abstractNumId w:val="22"/>
  </w:num>
  <w:num w:numId="23" w16cid:durableId="1538814210">
    <w:abstractNumId w:val="0"/>
  </w:num>
  <w:num w:numId="24" w16cid:durableId="662508244">
    <w:abstractNumId w:val="12"/>
  </w:num>
  <w:num w:numId="25" w16cid:durableId="2126651894">
    <w:abstractNumId w:val="7"/>
  </w:num>
  <w:num w:numId="26" w16cid:durableId="1861311176">
    <w:abstractNumId w:val="19"/>
  </w:num>
  <w:num w:numId="27" w16cid:durableId="20499167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C5"/>
    <w:rsid w:val="000034E5"/>
    <w:rsid w:val="000277C2"/>
    <w:rsid w:val="00030D54"/>
    <w:rsid w:val="0011686E"/>
    <w:rsid w:val="00167798"/>
    <w:rsid w:val="00197758"/>
    <w:rsid w:val="001A01E5"/>
    <w:rsid w:val="001D4410"/>
    <w:rsid w:val="001E002D"/>
    <w:rsid w:val="00242409"/>
    <w:rsid w:val="0026314E"/>
    <w:rsid w:val="002917C5"/>
    <w:rsid w:val="00294D97"/>
    <w:rsid w:val="002C08A9"/>
    <w:rsid w:val="002C246B"/>
    <w:rsid w:val="002C3302"/>
    <w:rsid w:val="002D76C5"/>
    <w:rsid w:val="002E5FBD"/>
    <w:rsid w:val="0030515D"/>
    <w:rsid w:val="003110CF"/>
    <w:rsid w:val="003227BF"/>
    <w:rsid w:val="00324002"/>
    <w:rsid w:val="0036275F"/>
    <w:rsid w:val="00391440"/>
    <w:rsid w:val="003952F8"/>
    <w:rsid w:val="003B1515"/>
    <w:rsid w:val="003B531F"/>
    <w:rsid w:val="003F30B4"/>
    <w:rsid w:val="00414440"/>
    <w:rsid w:val="004303C3"/>
    <w:rsid w:val="00445B1A"/>
    <w:rsid w:val="00470F53"/>
    <w:rsid w:val="004A17AB"/>
    <w:rsid w:val="004C552B"/>
    <w:rsid w:val="004D21F5"/>
    <w:rsid w:val="004E5D1B"/>
    <w:rsid w:val="005256DA"/>
    <w:rsid w:val="00540075"/>
    <w:rsid w:val="0054252E"/>
    <w:rsid w:val="00567FCE"/>
    <w:rsid w:val="00587A4B"/>
    <w:rsid w:val="005A3786"/>
    <w:rsid w:val="005B643F"/>
    <w:rsid w:val="005D1EAD"/>
    <w:rsid w:val="005E65F4"/>
    <w:rsid w:val="00602231"/>
    <w:rsid w:val="00603472"/>
    <w:rsid w:val="006158EC"/>
    <w:rsid w:val="0063315F"/>
    <w:rsid w:val="006617DC"/>
    <w:rsid w:val="00677811"/>
    <w:rsid w:val="006A003A"/>
    <w:rsid w:val="006B31EB"/>
    <w:rsid w:val="006B5057"/>
    <w:rsid w:val="006E4E8B"/>
    <w:rsid w:val="00762010"/>
    <w:rsid w:val="00766485"/>
    <w:rsid w:val="007C0D49"/>
    <w:rsid w:val="007F171B"/>
    <w:rsid w:val="00805291"/>
    <w:rsid w:val="00816B94"/>
    <w:rsid w:val="0082647E"/>
    <w:rsid w:val="00862895"/>
    <w:rsid w:val="008B62AB"/>
    <w:rsid w:val="008C2B03"/>
    <w:rsid w:val="0092201F"/>
    <w:rsid w:val="009350DD"/>
    <w:rsid w:val="009935D7"/>
    <w:rsid w:val="009A0E77"/>
    <w:rsid w:val="009A461E"/>
    <w:rsid w:val="009B72A8"/>
    <w:rsid w:val="009C311F"/>
    <w:rsid w:val="009C56CF"/>
    <w:rsid w:val="009C714A"/>
    <w:rsid w:val="009E29A1"/>
    <w:rsid w:val="009F2198"/>
    <w:rsid w:val="00A11449"/>
    <w:rsid w:val="00A414DA"/>
    <w:rsid w:val="00A64FCA"/>
    <w:rsid w:val="00A72668"/>
    <w:rsid w:val="00AB7DD2"/>
    <w:rsid w:val="00AD1ECA"/>
    <w:rsid w:val="00AE454F"/>
    <w:rsid w:val="00B00C3D"/>
    <w:rsid w:val="00B3536B"/>
    <w:rsid w:val="00B45BD9"/>
    <w:rsid w:val="00BA46A4"/>
    <w:rsid w:val="00BB0A87"/>
    <w:rsid w:val="00BC6937"/>
    <w:rsid w:val="00BE17C3"/>
    <w:rsid w:val="00BE3C27"/>
    <w:rsid w:val="00BF019B"/>
    <w:rsid w:val="00BF7007"/>
    <w:rsid w:val="00C06D21"/>
    <w:rsid w:val="00C263C0"/>
    <w:rsid w:val="00C53197"/>
    <w:rsid w:val="00C56BE8"/>
    <w:rsid w:val="00C8197E"/>
    <w:rsid w:val="00CC2522"/>
    <w:rsid w:val="00CC6BEB"/>
    <w:rsid w:val="00CE5FCA"/>
    <w:rsid w:val="00D66960"/>
    <w:rsid w:val="00D676D2"/>
    <w:rsid w:val="00D83BD0"/>
    <w:rsid w:val="00DE163A"/>
    <w:rsid w:val="00E00836"/>
    <w:rsid w:val="00E42572"/>
    <w:rsid w:val="00E4325B"/>
    <w:rsid w:val="00E66C89"/>
    <w:rsid w:val="00E80666"/>
    <w:rsid w:val="00EE6BC5"/>
    <w:rsid w:val="00EF6972"/>
    <w:rsid w:val="00F01BB2"/>
    <w:rsid w:val="00F30820"/>
    <w:rsid w:val="00F97797"/>
    <w:rsid w:val="00F97B5E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7E589"/>
  <w15:docId w15:val="{294D31F9-3E10-4A26-8D20-B516F8A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55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55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552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55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552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55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552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935D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616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E6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6166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A46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9209-A6A8-47A4-B673-3C6E5E9B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art</vt:lpstr>
    </vt:vector>
  </TitlesOfParts>
  <Company>Gemeente Waalwijk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art</dc:title>
  <dc:creator>Administrator</dc:creator>
  <cp:lastModifiedBy>Jan Maaijen</cp:lastModifiedBy>
  <cp:revision>2</cp:revision>
  <dcterms:created xsi:type="dcterms:W3CDTF">2023-08-31T12:41:00Z</dcterms:created>
  <dcterms:modified xsi:type="dcterms:W3CDTF">2023-08-31T12:41:00Z</dcterms:modified>
</cp:coreProperties>
</file>